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– EVIDENCE OBYVATEL</w:t>
              <w:br/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Dehtáře,</w:t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 w:val="false"/>
                <w:bCs w:val="false"/>
                <w:color w:val="000000"/>
                <w:lang w:eastAsia="cs-CZ"/>
              </w:rPr>
              <w:t>Dehtáře č. 4, 393 01 Pelhřimov, e-mail: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color w:val="000000"/>
                  <w:lang w:eastAsia="cs-CZ"/>
                </w:rPr>
                <w:t>obec-dehtare@seznam.cz</w:t>
              </w:r>
            </w:hyperlink>
            <w:r>
              <w:rPr>
                <w:rFonts w:cs="Arial"/>
                <w:b w:val="false"/>
                <w:bCs w:val="false"/>
                <w:color w:val="000000"/>
                <w:lang w:eastAsia="cs-CZ"/>
              </w:rPr>
              <w:t>, tel: 604934039, ID datové schránky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</w:r>
            <w:bookmarkStart w:id="0" w:name="_GoBack"/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bookmarkEnd w:id="0"/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EVIDENCE OBYVATEL</w:t>
            </w:r>
          </w:p>
        </w:tc>
      </w:tr>
      <w:tr>
        <w:trPr>
          <w:trHeight w:val="1368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>
            <w:pPr>
              <w:pStyle w:val="Normal"/>
              <w:spacing w:lineRule="auto" w:line="276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133/2000 Sb., o evidenci obyvatel a rodných číslech a o změně některých zákonů (zákon o evidenci obyvatel),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prováděcí právní předpisy k zákonu o evidenci obyvatel.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 České republiky vyplňující přihlašovací tiskopis v souvislosti s trvalým pobytem.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údaje do přihlašovacího tiskopisu.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 (žádající o výpis údajů vedených v informačním systému evidence obyvatel k jeho osobě a k osobě blízké).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údaje o trvalém pobytu na území České republiky a ostatní údaje vedené v informačním systému evidence obyvatel.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Správce informačního systému evidence obyvatel. Vlastník objektu. Kontrolní orgány (Ministerstvo vnitra).</w:t>
            </w:r>
            <w:r>
              <w:rPr/>
              <w:t xml:space="preserve"> </w:t>
            </w:r>
            <w:r>
              <w:rPr>
                <w:rFonts w:cs="Arial"/>
                <w:lang w:eastAsia="cs-CZ"/>
              </w:rPr>
              <w:t>Obyvatel starší 15 let.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v informačním systému evidence obyvatel se uchovávají po dobu 75 let po úmrtí občana nebo prohlášení osoby za mrtvou. Záznamy o poskytnutí údajů z informačního systému evidence obyvatel se uchovávají po dobu 10 let.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 a bylo zabráněno neoprávněnému nebo nahodilému přístupu k takto vedeným osobním údajům, k jejich změně, zničení, či ztrátě, neoprávněným přenosům, k jejich neoprávněnému zpracování, jakož i k jinému zneužití.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informačnímu systému evidence obyvatel je zabezpečen hesly v souladu s nastavením přístupových práv vnitřními předpisy obce.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LibreOffice/5.3.0.3$Windows_x86 LibreOffice_project/7074905676c47b82bbcfbea1aeefc84afe1c50e1</Application>
  <Pages>1</Pages>
  <Words>320</Words>
  <Characters>1920</Characters>
  <CharactersWithSpaces>2219</CharactersWithSpaces>
  <Paragraphs>22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2018-02-15T11:11:00Z</dcterms:created>
  <dc:creator>Uzivatel</dc:creator>
  <dc:description/>
  <dc:language>cs-CZ</dc:language>
  <cp:lastModifiedBy/>
  <dcterms:modified xsi:type="dcterms:W3CDTF">2018-06-28T14:03:49Z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