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00" w:after="0"/>
        <w:rPr>
          <w:rFonts w:cs="Arial"/>
        </w:rPr>
      </w:pPr>
      <w:r>
        <w:rPr>
          <w:rFonts w:cs="Arial"/>
        </w:rPr>
      </w:r>
    </w:p>
    <w:tbl>
      <w:tblPr>
        <w:tblW w:w="9255" w:type="dxa"/>
        <w:jc w:val="left"/>
        <w:tblInd w:w="-15"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40" w:type="dxa"/>
          <w:bottom w:w="0" w:type="dxa"/>
          <w:right w:w="70" w:type="dxa"/>
        </w:tblCellMar>
        <w:tblLook w:firstRow="1" w:noVBand="0" w:lastRow="0" w:firstColumn="1" w:lastColumn="0" w:noHBand="0" w:val="00a0"/>
      </w:tblPr>
      <w:tblGrid>
        <w:gridCol w:w="9255"/>
      </w:tblGrid>
      <w:tr>
        <w:trPr>
          <w:trHeight w:val="1633"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FBE4D5" w:themeFill="accent2" w:themeFillTint="33" w:val="clear"/>
            <w:tcMar>
              <w:left w:w="40" w:type="dxa"/>
            </w:tcMar>
            <w:vAlign w:val="center"/>
          </w:tcPr>
          <w:p>
            <w:pPr>
              <w:pStyle w:val="Normal"/>
              <w:spacing w:lineRule="auto" w:line="240" w:before="60" w:after="60"/>
              <w:jc w:val="center"/>
              <w:rPr>
                <w:rFonts w:cs="Arial"/>
                <w:b/>
                <w:b/>
                <w:bCs/>
                <w:color w:val="000000"/>
                <w:lang w:eastAsia="cs-CZ"/>
              </w:rPr>
            </w:pPr>
            <w:r>
              <w:rPr>
                <w:rFonts w:cs="Arial"/>
                <w:b/>
                <w:bCs/>
                <w:color w:val="000000"/>
                <w:lang w:eastAsia="cs-CZ"/>
              </w:rPr>
              <w:t>Záznam o činnostech zpracování – Czech POINT</w:t>
              <w:br/>
              <w:t>čl. 30 odst. 1 obecného nařízení o ochraně osobních údajů (GDPR)</w:t>
            </w:r>
          </w:p>
          <w:p>
            <w:pPr>
              <w:pStyle w:val="Normal"/>
              <w:spacing w:lineRule="auto" w:line="240" w:before="60" w:after="60"/>
              <w:jc w:val="center"/>
              <w:rPr>
                <w:rFonts w:cs="Arial"/>
                <w:b/>
                <w:b/>
                <w:bCs/>
                <w:color w:val="000000"/>
                <w:lang w:eastAsia="cs-CZ"/>
              </w:rPr>
            </w:pPr>
            <w:r>
              <w:rPr>
                <w:rFonts w:cs="Arial"/>
                <w:b/>
                <w:bCs/>
                <w:color w:val="000000"/>
                <w:lang w:eastAsia="cs-CZ"/>
              </w:rPr>
            </w:r>
          </w:p>
          <w:p>
            <w:pPr>
              <w:pStyle w:val="Normal"/>
              <w:spacing w:lineRule="auto" w:line="240" w:before="60" w:after="60"/>
              <w:jc w:val="left"/>
              <w:rPr/>
            </w:pPr>
            <w:r>
              <w:rPr>
                <w:rFonts w:cs="Arial"/>
                <w:b/>
                <w:bCs/>
                <w:color w:val="000000"/>
                <w:lang w:eastAsia="cs-CZ"/>
              </w:rPr>
              <w:t xml:space="preserve">Správce: </w:t>
            </w:r>
            <w:r>
              <w:rPr>
                <w:rFonts w:cs="Arial"/>
                <w:b/>
                <w:bCs/>
                <w:i w:val="false"/>
                <w:iCs w:val="false"/>
                <w:color w:val="000000"/>
                <w:lang w:eastAsia="cs-CZ"/>
              </w:rPr>
              <w:t>Obec Dehtáře,</w:t>
            </w:r>
            <w:r>
              <w:rPr>
                <w:rFonts w:cs="Arial"/>
                <w:bCs/>
                <w:i/>
                <w:color w:val="000000"/>
                <w:lang w:eastAsia="cs-CZ"/>
              </w:rPr>
              <w:t xml:space="preserve"> </w:t>
            </w:r>
          </w:p>
          <w:p>
            <w:pPr>
              <w:pStyle w:val="Normal"/>
              <w:spacing w:lineRule="auto" w:line="240" w:before="60" w:after="60"/>
              <w:jc w:val="left"/>
              <w:rPr/>
            </w:pPr>
            <w:r>
              <w:rPr>
                <w:rFonts w:cs="Arial"/>
                <w:bCs/>
                <w:i/>
                <w:color w:val="000000"/>
                <w:lang w:eastAsia="cs-CZ"/>
              </w:rPr>
              <w:t>Dehtáře č, 4, 393 01 Pelhřimov, email:</w:t>
            </w:r>
            <w:hyperlink r:id="rId2">
              <w:r>
                <w:rPr>
                  <w:rStyle w:val="Internetovodkaz"/>
                  <w:rFonts w:cs="Arial"/>
                  <w:bCs/>
                  <w:i/>
                  <w:color w:val="000000"/>
                  <w:lang w:eastAsia="cs-CZ"/>
                </w:rPr>
                <w:t>obec-dehtare@seznam.cz</w:t>
              </w:r>
            </w:hyperlink>
            <w:r>
              <w:rPr>
                <w:rFonts w:cs="Arial"/>
                <w:bCs/>
                <w:i/>
                <w:color w:val="000000"/>
                <w:lang w:eastAsia="cs-CZ"/>
              </w:rPr>
              <w:t>, tel. 604934039, ID datové schránky</w:t>
            </w:r>
          </w:p>
          <w:p>
            <w:pPr>
              <w:pStyle w:val="Normal"/>
              <w:spacing w:lineRule="auto" w:line="240" w:before="60" w:after="60"/>
              <w:jc w:val="left"/>
              <w:rPr/>
            </w:pPr>
            <w:r>
              <w:rPr>
                <w:rFonts w:cs="Arial"/>
                <w:b/>
                <w:bCs/>
                <w:color w:val="000000"/>
                <w:lang w:eastAsia="cs-CZ"/>
              </w:rPr>
              <w:t xml:space="preserve">Pověřenec pro ochranu osobních údajů: </w:t>
            </w:r>
            <w:r>
              <w:rPr>
                <w:rFonts w:cs="Arial"/>
                <w:b/>
                <w:bCs/>
                <w:i/>
                <w:color w:val="000000"/>
                <w:lang w:eastAsia="cs-CZ"/>
              </w:rPr>
              <w:t>Mgr. et Bc. Luboš Kliment</w:t>
            </w:r>
          </w:p>
          <w:p>
            <w:pPr>
              <w:pStyle w:val="Normal"/>
              <w:spacing w:lineRule="auto" w:line="240" w:before="60" w:after="60"/>
              <w:jc w:val="left"/>
              <w:rPr>
                <w:rFonts w:cs="Arial"/>
                <w:bCs/>
                <w:i/>
                <w:i/>
                <w:color w:val="000000"/>
                <w:lang w:eastAsia="cs-CZ"/>
              </w:rPr>
            </w:pPr>
            <w:r>
              <w:rPr>
                <w:rFonts w:cs="Arial"/>
                <w:bCs/>
                <w:i/>
                <w:color w:val="000000"/>
                <w:lang w:eastAsia="cs-CZ"/>
              </w:rPr>
              <w:t>advokát, ev. č. osvědčení ČAK: 11300, se sídlem Nádražní 21, 591 01 Žďár nad Sázavou, email: gdpr@akkliment.cz, tel: 776 233 879, ID datové schránky ideg93s</w:t>
            </w:r>
          </w:p>
        </w:tc>
      </w:tr>
      <w:tr>
        <w:trPr>
          <w:trHeight w:val="454"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DEEAF6" w:themeFill="accent1" w:themeFillTint="33" w:val="clear"/>
            <w:tcMar>
              <w:left w:w="40" w:type="dxa"/>
            </w:tcMar>
            <w:vAlign w:val="center"/>
          </w:tcPr>
          <w:p>
            <w:pPr>
              <w:pStyle w:val="Normal"/>
              <w:spacing w:lineRule="auto" w:line="240" w:before="60" w:after="60"/>
              <w:jc w:val="left"/>
              <w:rPr>
                <w:rFonts w:cs="Arial"/>
                <w:b/>
                <w:b/>
                <w:color w:val="000000"/>
                <w:lang w:eastAsia="cs-CZ"/>
              </w:rPr>
            </w:pPr>
            <w:r>
              <w:rPr>
                <w:rFonts w:cs="Arial"/>
                <w:b/>
                <w:color w:val="000000"/>
                <w:lang w:eastAsia="cs-CZ"/>
              </w:rPr>
              <w:t>I. Účely zpracování</w:t>
            </w:r>
          </w:p>
        </w:tc>
      </w:tr>
      <w:tr>
        <w:trPr>
          <w:trHeight w:val="454"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FBE4D5" w:themeFill="accent2" w:themeFillTint="33" w:val="clear"/>
            <w:tcMar>
              <w:left w:w="40" w:type="dxa"/>
            </w:tcMar>
            <w:vAlign w:val="center"/>
          </w:tcPr>
          <w:p>
            <w:pPr>
              <w:pStyle w:val="Normal"/>
              <w:spacing w:lineRule="auto" w:line="240" w:before="60" w:after="60"/>
              <w:jc w:val="center"/>
              <w:rPr>
                <w:rFonts w:cs="Arial"/>
                <w:b/>
                <w:b/>
                <w:color w:val="000000"/>
                <w:lang w:eastAsia="cs-CZ"/>
              </w:rPr>
            </w:pPr>
            <w:r>
              <w:rPr>
                <w:rFonts w:cs="Arial"/>
                <w:b/>
                <w:bCs/>
                <w:lang w:eastAsia="cs-CZ"/>
              </w:rPr>
              <w:t>ZAJIŠTĚNÍ AGEND KONTAKTNÍHO MÍSTA VEŘEJNÉ SPRÁVY</w:t>
            </w:r>
          </w:p>
        </w:tc>
      </w:tr>
      <w:tr>
        <w:trPr>
          <w:trHeight w:val="1368"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40" w:type="dxa"/>
            </w:tcMar>
            <w:vAlign w:val="center"/>
          </w:tcPr>
          <w:p>
            <w:pPr>
              <w:pStyle w:val="Normal"/>
              <w:spacing w:lineRule="auto" w:line="240" w:before="60" w:after="120"/>
              <w:jc w:val="left"/>
              <w:rPr>
                <w:rFonts w:cs="Arial"/>
                <w:b/>
                <w:b/>
                <w:lang w:eastAsia="cs-CZ"/>
              </w:rPr>
            </w:pPr>
            <w:r>
              <w:rPr>
                <w:rFonts w:cs="Arial"/>
                <w:b/>
                <w:color w:val="000000"/>
                <w:lang w:eastAsia="cs-CZ"/>
              </w:rPr>
              <w:t>Čl. 6 odst. 1 písm. c) GDPR - zpracování nezbytné pro plnění právní povinnosti:</w:t>
            </w:r>
          </w:p>
          <w:p>
            <w:pPr>
              <w:pStyle w:val="Normal"/>
              <w:spacing w:lineRule="auto" w:line="240" w:before="200" w:after="120"/>
              <w:contextualSpacing/>
              <w:rPr>
                <w:rFonts w:cs="Arial"/>
              </w:rPr>
            </w:pPr>
            <w:r>
              <w:rPr>
                <w:rFonts w:cs="Arial"/>
              </w:rPr>
              <w:t>zákon č. 365/2000 Sb., o informačních systémech veřejné správy,</w:t>
            </w:r>
          </w:p>
          <w:p>
            <w:pPr>
              <w:pStyle w:val="Normal"/>
              <w:spacing w:lineRule="auto" w:line="240" w:before="200" w:after="120"/>
              <w:contextualSpacing/>
              <w:rPr>
                <w:rFonts w:cs="Arial"/>
              </w:rPr>
            </w:pPr>
            <w:r>
              <w:rPr>
                <w:rFonts w:cs="Arial"/>
              </w:rPr>
              <w:t>zvláštní právní předpisy upravující podání správním orgánům prostřednictvím kontaktních míst veřejné správy, například:</w:t>
            </w:r>
          </w:p>
          <w:p>
            <w:pPr>
              <w:pStyle w:val="Normal"/>
              <w:spacing w:lineRule="auto" w:line="240" w:before="200" w:after="120"/>
              <w:contextualSpacing/>
              <w:rPr>
                <w:rFonts w:cs="Arial"/>
              </w:rPr>
            </w:pPr>
            <w:r>
              <w:rPr>
                <w:rFonts w:cs="Arial"/>
              </w:rPr>
              <w:t>zákon č. 455/1991 Sb., o živnostenském podnikání (živnostenský zákon),</w:t>
            </w:r>
          </w:p>
          <w:p>
            <w:pPr>
              <w:pStyle w:val="Normal"/>
              <w:spacing w:lineRule="auto" w:line="240" w:before="200" w:after="120"/>
              <w:contextualSpacing/>
              <w:rPr>
                <w:rFonts w:cs="Arial"/>
              </w:rPr>
            </w:pPr>
            <w:r>
              <w:rPr>
                <w:rFonts w:cs="Arial"/>
              </w:rPr>
              <w:t>zákon č. 269/1994 Sb., o Rejstříku trestů,</w:t>
            </w:r>
          </w:p>
          <w:p>
            <w:pPr>
              <w:pStyle w:val="Normal"/>
              <w:spacing w:lineRule="auto" w:line="240" w:before="200" w:after="120"/>
              <w:contextualSpacing/>
              <w:rPr>
                <w:rFonts w:cs="Arial"/>
              </w:rPr>
            </w:pPr>
            <w:r>
              <w:rPr>
                <w:rFonts w:cs="Arial"/>
              </w:rPr>
              <w:t>zákon č. 111/1999 Sb., o základních registrech,</w:t>
            </w:r>
          </w:p>
          <w:p>
            <w:pPr>
              <w:pStyle w:val="Normal"/>
              <w:spacing w:lineRule="auto" w:line="240" w:before="200" w:after="120"/>
              <w:contextualSpacing/>
              <w:rPr>
                <w:rFonts w:cs="Arial"/>
              </w:rPr>
            </w:pPr>
            <w:r>
              <w:rPr>
                <w:rFonts w:cs="Arial"/>
              </w:rPr>
              <w:t>zákon č. 133/2000 Sb., o evidenci obyvatel a rodných číslech a o změně některých zákonů (zákon o evidenci obyvatel),</w:t>
            </w:r>
          </w:p>
          <w:p>
            <w:pPr>
              <w:pStyle w:val="Normal"/>
              <w:spacing w:lineRule="auto" w:line="240" w:before="200" w:after="120"/>
              <w:contextualSpacing/>
              <w:rPr>
                <w:rFonts w:cs="Arial"/>
              </w:rPr>
            </w:pPr>
            <w:r>
              <w:rPr>
                <w:rFonts w:cs="Arial"/>
              </w:rPr>
              <w:t>zákon č. 361/2000 Sb., o provozu na pozemních komunikacích a o změnách některých zákonů (zákon o silničním provozu),</w:t>
            </w:r>
          </w:p>
          <w:p>
            <w:pPr>
              <w:pStyle w:val="Normal"/>
              <w:spacing w:lineRule="auto" w:line="240" w:before="200" w:after="120"/>
              <w:contextualSpacing/>
              <w:rPr>
                <w:rFonts w:cs="Arial"/>
              </w:rPr>
            </w:pPr>
            <w:r>
              <w:rPr>
                <w:rFonts w:cs="Arial"/>
              </w:rPr>
              <w:t>zákon č. 500/2004 Sb., správní řád,</w:t>
            </w:r>
          </w:p>
          <w:p>
            <w:pPr>
              <w:pStyle w:val="Normal"/>
              <w:spacing w:lineRule="auto" w:line="240" w:before="200" w:after="120"/>
              <w:contextualSpacing/>
              <w:rPr>
                <w:rFonts w:cs="Arial"/>
              </w:rPr>
            </w:pPr>
            <w:r>
              <w:rPr>
                <w:rFonts w:cs="Arial"/>
              </w:rPr>
              <w:t>zákon č. 300/2008 Sb., o elektronických úkonech a autorizované konverzi dokumentů.</w:t>
            </w:r>
          </w:p>
          <w:p>
            <w:pPr>
              <w:pStyle w:val="Normal"/>
              <w:spacing w:lineRule="auto" w:line="240" w:before="60" w:after="60"/>
              <w:rPr>
                <w:rFonts w:cs="Arial"/>
                <w:lang w:eastAsia="cs-CZ"/>
              </w:rPr>
            </w:pPr>
            <w:r>
              <w:rPr>
                <w:rFonts w:cs="Arial"/>
                <w:lang w:eastAsia="cs-CZ"/>
              </w:rPr>
            </w:r>
          </w:p>
          <w:p>
            <w:pPr>
              <w:pStyle w:val="Normal"/>
              <w:spacing w:lineRule="auto" w:line="240" w:before="60" w:after="60"/>
              <w:rPr>
                <w:rFonts w:cs="Arial"/>
                <w:lang w:eastAsia="cs-CZ"/>
              </w:rPr>
            </w:pPr>
            <w:r>
              <w:rPr>
                <w:rFonts w:cs="Arial"/>
                <w:lang w:eastAsia="cs-CZ"/>
              </w:rPr>
              <w:t>(Tento záznam o činnostech upravuje pouze poskytování služby kontaktního místa veřejné správy veřejnosti, nikoli využívání Czech POINT pro vlastní činnost úřadu – takováto zpracování osobních údajů jsou součástí jednotlivých agend, jimž jsou věnovány ostatní záznamy o činnostech.</w:t>
            </w:r>
          </w:p>
          <w:p>
            <w:pPr>
              <w:pStyle w:val="Normal"/>
              <w:spacing w:lineRule="auto" w:line="240" w:before="60" w:after="60"/>
              <w:rPr>
                <w:rFonts w:cs="Arial"/>
                <w:lang w:eastAsia="cs-CZ"/>
              </w:rPr>
            </w:pPr>
            <w:r>
              <w:rPr>
                <w:rFonts w:cs="Arial"/>
                <w:lang w:eastAsia="cs-CZ"/>
              </w:rPr>
              <w:t>Na obec se při poskytování služby Czech POINT pohlíží z hlediska GDPR jako na správce osobních údajů – záznam se týká údajů, které obec získává od subjektu údajů pro účely poskytnutí služby CzechPoint, popřípadě je předává subjektu údajů. Záznam se netýká datového obsahu informačního systému Czech POINT, jehož správcem není obec a pro obec nelze dovodit ani roli zpracovatele.)</w:t>
            </w:r>
          </w:p>
        </w:tc>
      </w:tr>
      <w:tr>
        <w:trPr>
          <w:trHeight w:val="454"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DEEAF6" w:themeFill="accent1" w:themeFillTint="33" w:val="clear"/>
            <w:tcMar>
              <w:left w:w="40" w:type="dxa"/>
            </w:tcMar>
            <w:vAlign w:val="center"/>
          </w:tcPr>
          <w:p>
            <w:pPr>
              <w:pStyle w:val="Normal"/>
              <w:spacing w:lineRule="auto" w:line="240" w:before="60" w:after="60"/>
              <w:jc w:val="left"/>
              <w:rPr>
                <w:rFonts w:cs="Arial"/>
                <w:b/>
                <w:b/>
                <w:lang w:eastAsia="cs-CZ"/>
              </w:rPr>
            </w:pPr>
            <w:r>
              <w:rPr>
                <w:rFonts w:cs="Arial"/>
                <w:b/>
                <w:color w:val="000000"/>
                <w:lang w:eastAsia="cs-CZ"/>
              </w:rPr>
              <w:t>II. Kategorie subjektů údajů</w:t>
            </w:r>
          </w:p>
        </w:tc>
      </w:tr>
      <w:tr>
        <w:trPr>
          <w:trHeight w:val="454"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40" w:type="dxa"/>
            </w:tcMar>
            <w:vAlign w:val="center"/>
          </w:tcPr>
          <w:p>
            <w:pPr>
              <w:pStyle w:val="Normal"/>
              <w:spacing w:lineRule="auto" w:line="240" w:before="60" w:after="60"/>
              <w:rPr>
                <w:rFonts w:cs="Arial"/>
                <w:lang w:eastAsia="cs-CZ"/>
              </w:rPr>
            </w:pPr>
            <w:r>
              <w:rPr>
                <w:rFonts w:cs="Arial"/>
                <w:lang w:eastAsia="cs-CZ"/>
              </w:rPr>
              <w:t>Fyzická osoba, která činí podání na kontaktním místě veřejné správy.</w:t>
            </w:r>
          </w:p>
        </w:tc>
      </w:tr>
      <w:tr>
        <w:trPr>
          <w:trHeight w:val="454"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DEEAF6" w:themeFill="accent1" w:themeFillTint="33" w:val="clear"/>
            <w:tcMar>
              <w:left w:w="40" w:type="dxa"/>
            </w:tcMar>
            <w:vAlign w:val="center"/>
          </w:tcPr>
          <w:p>
            <w:pPr>
              <w:pStyle w:val="Normal"/>
              <w:spacing w:lineRule="auto" w:line="240" w:before="60" w:after="60"/>
              <w:jc w:val="left"/>
              <w:rPr>
                <w:rFonts w:cs="Arial"/>
                <w:b/>
                <w:b/>
                <w:color w:val="000000"/>
                <w:lang w:eastAsia="cs-CZ"/>
              </w:rPr>
            </w:pPr>
            <w:r>
              <w:rPr>
                <w:rFonts w:cs="Arial"/>
                <w:b/>
                <w:color w:val="000000"/>
                <w:lang w:eastAsia="cs-CZ"/>
              </w:rPr>
              <w:t>III. Kategorie osobních údajů</w:t>
            </w:r>
          </w:p>
        </w:tc>
      </w:tr>
      <w:tr>
        <w:trPr>
          <w:trHeight w:val="794"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40" w:type="dxa"/>
            </w:tcMar>
            <w:vAlign w:val="center"/>
          </w:tcPr>
          <w:p>
            <w:pPr>
              <w:pStyle w:val="Normal"/>
              <w:spacing w:lineRule="auto" w:line="240" w:before="60" w:after="60"/>
              <w:rPr>
                <w:rFonts w:cs="Arial"/>
                <w:lang w:eastAsia="cs-CZ"/>
              </w:rPr>
            </w:pPr>
            <w:r>
              <w:rPr>
                <w:rFonts w:cs="Arial"/>
                <w:lang w:eastAsia="cs-CZ"/>
              </w:rPr>
              <w:t>Údaje nezbytné pro účely ověření totožnosti fyzické osoby, která činí podání na kontaktním místě veřejné správy, a k elektronickému zpracování jejího podání, včetně referenčních údajů ze základního registru obyvatel a údaje o rodném příjmení z informačního systému evidence obyvatel.</w:t>
            </w:r>
          </w:p>
          <w:p>
            <w:pPr>
              <w:pStyle w:val="Normal"/>
              <w:spacing w:lineRule="auto" w:line="240" w:before="60" w:after="60"/>
              <w:rPr>
                <w:rFonts w:cs="Arial"/>
                <w:lang w:eastAsia="cs-CZ"/>
              </w:rPr>
            </w:pPr>
            <w:r>
              <w:rPr>
                <w:rFonts w:cs="Arial"/>
                <w:lang w:eastAsia="cs-CZ"/>
              </w:rPr>
              <w:t>Údaje, které jsou obsahem výpisů, ověřených výstupů z informačních systémů veřejné správy a podobných výstupů pořizovaných prostřednictvím Czech POINT.</w:t>
            </w:r>
          </w:p>
          <w:p>
            <w:pPr>
              <w:pStyle w:val="Normal"/>
              <w:spacing w:lineRule="auto" w:line="240" w:before="60" w:after="60"/>
              <w:rPr>
                <w:rFonts w:cs="Arial"/>
                <w:lang w:eastAsia="cs-CZ"/>
              </w:rPr>
            </w:pPr>
            <w:r>
              <w:rPr>
                <w:rFonts w:cs="Arial"/>
                <w:lang w:eastAsia="cs-CZ"/>
              </w:rPr>
              <w:t>Údaje nezbytné pro doručování písemností ve formě výstupů autorizované konverze dokumentů podle správního řádu.</w:t>
            </w:r>
          </w:p>
          <w:p>
            <w:pPr>
              <w:pStyle w:val="Normal"/>
              <w:spacing w:lineRule="auto" w:line="240" w:before="60" w:after="60"/>
              <w:rPr>
                <w:rFonts w:cs="Arial"/>
                <w:lang w:eastAsia="cs-CZ"/>
              </w:rPr>
            </w:pPr>
            <w:r>
              <w:rPr>
                <w:rFonts w:cs="Arial"/>
                <w:lang w:eastAsia="cs-CZ"/>
              </w:rPr>
              <w:t>Údaje nezbytné pro vedení evidence žádostí o výpis z Rejstříku trestů.</w:t>
            </w:r>
          </w:p>
        </w:tc>
      </w:tr>
      <w:tr>
        <w:trPr>
          <w:trHeight w:val="454"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DEEAF6" w:themeFill="accent1" w:themeFillTint="33" w:val="clear"/>
            <w:tcMar>
              <w:left w:w="40" w:type="dxa"/>
            </w:tcMar>
            <w:vAlign w:val="center"/>
          </w:tcPr>
          <w:p>
            <w:pPr>
              <w:pStyle w:val="Normal"/>
              <w:spacing w:lineRule="auto" w:line="240" w:before="60" w:after="60"/>
              <w:jc w:val="left"/>
              <w:rPr>
                <w:rFonts w:cs="Arial"/>
                <w:b/>
                <w:b/>
                <w:color w:val="000000"/>
                <w:lang w:eastAsia="cs-CZ"/>
              </w:rPr>
            </w:pPr>
            <w:r>
              <w:rPr>
                <w:rFonts w:cs="Arial"/>
                <w:b/>
                <w:color w:val="000000"/>
                <w:lang w:eastAsia="cs-CZ"/>
              </w:rPr>
              <w:t>IV. Kategorie příjemců</w:t>
            </w:r>
          </w:p>
        </w:tc>
      </w:tr>
      <w:tr>
        <w:trPr>
          <w:trHeight w:val="396"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40" w:type="dxa"/>
            </w:tcMar>
            <w:vAlign w:val="center"/>
          </w:tcPr>
          <w:p>
            <w:pPr>
              <w:pStyle w:val="Normal"/>
              <w:spacing w:lineRule="auto" w:line="240" w:before="60" w:after="60"/>
              <w:rPr>
                <w:rFonts w:cs="Arial"/>
                <w:lang w:eastAsia="cs-CZ"/>
              </w:rPr>
            </w:pPr>
            <w:r>
              <w:rPr>
                <w:rFonts w:cs="Arial"/>
                <w:lang w:eastAsia="cs-CZ"/>
              </w:rPr>
              <w:t>Správce informačního systému kontaktních míst veřejné správy.</w:t>
            </w:r>
          </w:p>
        </w:tc>
      </w:tr>
      <w:tr>
        <w:trPr>
          <w:trHeight w:val="454"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DEEAF6" w:themeFill="accent1" w:themeFillTint="33" w:val="clear"/>
            <w:tcMar>
              <w:left w:w="40" w:type="dxa"/>
            </w:tcMar>
            <w:vAlign w:val="center"/>
          </w:tcPr>
          <w:p>
            <w:pPr>
              <w:pStyle w:val="Normal"/>
              <w:spacing w:lineRule="auto" w:line="240" w:before="60" w:after="60"/>
              <w:rPr>
                <w:rFonts w:cs="Arial"/>
                <w:b/>
                <w:b/>
                <w:lang w:eastAsia="cs-CZ"/>
              </w:rPr>
            </w:pPr>
            <w:r>
              <w:rPr>
                <w:rFonts w:cs="Arial"/>
                <w:b/>
                <w:lang w:eastAsia="cs-CZ"/>
              </w:rPr>
              <w:t>V. Plánované lhůty pro výmaz kategorií osobních údajů</w:t>
            </w:r>
          </w:p>
        </w:tc>
      </w:tr>
      <w:tr>
        <w:trPr>
          <w:trHeight w:val="794"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40" w:type="dxa"/>
            </w:tcMar>
            <w:vAlign w:val="center"/>
          </w:tcPr>
          <w:p>
            <w:pPr>
              <w:pStyle w:val="Normal"/>
              <w:spacing w:lineRule="auto" w:line="240" w:before="60" w:after="60"/>
              <w:rPr>
                <w:rFonts w:cs="Arial"/>
                <w:lang w:eastAsia="cs-CZ"/>
              </w:rPr>
            </w:pPr>
            <w:r>
              <w:rPr>
                <w:rFonts w:cs="Arial"/>
                <w:lang w:eastAsia="cs-CZ"/>
              </w:rPr>
              <w:t>Žádost o vydání výpisu z Rejstříku trestů uchovává kontaktní místo veřejné správy po dobu dvou let od jejího podání.</w:t>
            </w:r>
          </w:p>
        </w:tc>
      </w:tr>
      <w:tr>
        <w:trPr>
          <w:trHeight w:val="454"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color="auto" w:fill="DEEAF6" w:themeFill="accent1" w:themeFillTint="33" w:val="clear"/>
            <w:tcMar>
              <w:left w:w="40" w:type="dxa"/>
            </w:tcMar>
            <w:vAlign w:val="center"/>
          </w:tcPr>
          <w:p>
            <w:pPr>
              <w:pStyle w:val="Normal"/>
              <w:spacing w:lineRule="auto" w:line="240" w:before="60" w:after="60"/>
              <w:rPr>
                <w:rFonts w:cs="Arial"/>
                <w:b/>
                <w:b/>
                <w:lang w:eastAsia="cs-CZ"/>
              </w:rPr>
            </w:pPr>
            <w:r>
              <w:rPr>
                <w:rFonts w:cs="Arial"/>
                <w:b/>
                <w:lang w:eastAsia="cs-CZ"/>
              </w:rPr>
              <w:t>VI. Obecný popis technických a organizačních bezpečnostních opatření</w:t>
            </w:r>
          </w:p>
        </w:tc>
      </w:tr>
      <w:tr>
        <w:trPr>
          <w:trHeight w:val="454" w:hRule="atLeast"/>
        </w:trPr>
        <w:tc>
          <w:tcPr>
            <w:tcW w:w="925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40" w:type="dxa"/>
            </w:tcMar>
            <w:vAlign w:val="center"/>
          </w:tcPr>
          <w:p>
            <w:pPr>
              <w:pStyle w:val="Normal"/>
              <w:spacing w:lineRule="auto" w:line="240" w:before="60" w:after="60"/>
              <w:rPr>
                <w:rFonts w:cs="Arial"/>
                <w:lang w:eastAsia="cs-CZ"/>
              </w:rPr>
            </w:pPr>
            <w:r>
              <w:rPr>
                <w:rFonts w:cs="Arial"/>
                <w:lang w:eastAsia="cs-CZ"/>
              </w:rPr>
              <w:t>Přístup k informačnímu systému je zabezpečen hesly v souladu s nastavením přístupových práv vnitřními předpisy obce. Fyzické prostředky jsou spravovány v uzamykaných prostorách.</w:t>
            </w:r>
          </w:p>
          <w:p>
            <w:pPr>
              <w:pStyle w:val="Normal"/>
              <w:spacing w:lineRule="auto" w:line="240" w:before="60" w:after="60"/>
              <w:rPr>
                <w:rFonts w:cs="Arial"/>
                <w:lang w:eastAsia="cs-CZ"/>
              </w:rPr>
            </w:pPr>
            <w:r>
              <w:rPr>
                <w:rFonts w:cs="Arial"/>
                <w:lang w:eastAsia="cs-CZ"/>
              </w:rPr>
              <w:t>Výstupy z informačních systémů veřejné správy se subjektům údajů předávají tak, aby byly odpovídajícím způsobem skryty před třetími osobami.</w:t>
            </w:r>
          </w:p>
          <w:p>
            <w:pPr>
              <w:pStyle w:val="Normal"/>
              <w:spacing w:lineRule="auto" w:line="240" w:before="60" w:after="60"/>
              <w:rPr>
                <w:rFonts w:cs="Arial"/>
                <w:lang w:eastAsia="cs-CZ"/>
              </w:rPr>
            </w:pPr>
            <w:r>
              <w:rPr>
                <w:rFonts w:cs="Arial"/>
                <w:lang w:eastAsia="cs-CZ"/>
              </w:rPr>
              <w:t>Obec neuchovává kopie podání učiněných prostřednictvím Czech POINT ani výpisů pořízených z informačních systému veřejné správy.</w:t>
            </w:r>
          </w:p>
          <w:p>
            <w:pPr>
              <w:pStyle w:val="Normal"/>
              <w:spacing w:lineRule="auto" w:line="240" w:before="60" w:after="60"/>
              <w:rPr>
                <w:rFonts w:cs="Arial"/>
                <w:lang w:eastAsia="cs-CZ"/>
              </w:rPr>
            </w:pPr>
            <w:r>
              <w:rPr>
                <w:rFonts w:cs="Arial"/>
                <w:lang w:eastAsia="cs-CZ"/>
              </w:rPr>
              <w:t>Datové připojení k informačnímu systému kontaktních míst veřejné správy je náležitě zajištěno, aby se zamezilo neoprávněnému přístupu třetích osob</w:t>
            </w:r>
            <w:bookmarkStart w:id="0" w:name="_GoBack"/>
            <w:bookmarkEnd w:id="0"/>
            <w:r>
              <w:rPr>
                <w:rFonts w:cs="Arial"/>
                <w:i/>
                <w:lang w:eastAsia="cs-CZ"/>
              </w:rPr>
              <w:t>.</w:t>
            </w:r>
          </w:p>
        </w:tc>
      </w:tr>
    </w:tbl>
    <w:p>
      <w:pPr>
        <w:pStyle w:val="Normal"/>
        <w:spacing w:lineRule="auto" w:line="240"/>
        <w:rPr/>
      </w:pPr>
      <w:r>
        <w:rPr/>
      </w:r>
    </w:p>
    <w:sectPr>
      <w:type w:val="nextPage"/>
      <w:pgSz w:w="11906" w:h="16838"/>
      <w:pgMar w:left="1417" w:right="1417" w:header="0" w:top="851" w:footer="0" w:bottom="156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16689"/>
    <w:pPr>
      <w:widowControl/>
      <w:bidi w:val="0"/>
      <w:spacing w:lineRule="auto" w:line="288" w:before="200" w:after="0"/>
      <w:jc w:val="both"/>
    </w:pPr>
    <w:rPr>
      <w:rFonts w:ascii="Arial" w:hAnsi="Arial" w:eastAsia="Times New Roman" w:cs="Times New Roman"/>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uiPriority w:val="34"/>
    <w:qFormat/>
    <w:rsid w:val="00416689"/>
    <w:pPr>
      <w:spacing w:lineRule="auto" w:line="240" w:before="0" w:after="0"/>
      <w:jc w:val="lef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bec-dehtare@seznam.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LibreOffice/5.3.0.3$Windows_x86 LibreOffice_project/7074905676c47b82bbcfbea1aeefc84afe1c50e1</Application>
  <Pages>2</Pages>
  <Words>506</Words>
  <Characters>3118</Characters>
  <CharactersWithSpaces>3593</CharactersWithSpaces>
  <Paragraphs>35</Paragraphs>
  <Company>MV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2018-05-20T15:43:00Z</dcterms:created>
  <dc:creator>Uzivatel</dc:creator>
  <dc:description/>
  <dc:language>cs-CZ</dc:language>
  <cp:lastModifiedBy/>
  <dcterms:modified xsi:type="dcterms:W3CDTF">2018-06-28T15:05:03Z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MV ČR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